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afterLines="50"/>
        <w:jc w:val="center"/>
        <w:outlineLvl w:val="2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中兽药产业技术创新战略联盟盟员申请表</w:t>
      </w:r>
    </w:p>
    <w:p>
      <w:pPr>
        <w:widowControl/>
        <w:ind w:right="-58" w:firstLine="6386" w:firstLineChars="3041"/>
        <w:outlineLvl w:val="2"/>
        <w:rPr>
          <w:rFonts w:ascii="宋体" w:hAnsi="宋体" w:cs="宋体"/>
          <w:bCs/>
          <w:kern w:val="0"/>
          <w:szCs w:val="21"/>
          <w:u w:val="single"/>
        </w:rPr>
      </w:pPr>
      <w:r>
        <w:rPr>
          <w:rFonts w:hint="eastAsia" w:ascii="宋体" w:hAnsi="宋体" w:cs="宋体"/>
          <w:bCs/>
          <w:kern w:val="0"/>
          <w:szCs w:val="21"/>
        </w:rPr>
        <w:t>编号：</w:t>
      </w:r>
    </w:p>
    <w:tbl>
      <w:tblPr>
        <w:tblW w:w="85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2126"/>
        <w:gridCol w:w="2268"/>
        <w:gridCol w:w="59"/>
        <w:gridCol w:w="25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单位名称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总经理姓名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单位代码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单位性质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负责人姓名（销售）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负责人姓名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（研发）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单位人数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人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中级职称以上人数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15" w:firstLineChars="15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万元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固定资产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年销售额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万元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所属行业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经营范围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通信地址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邮　　编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网    址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总经理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联系电话（手机）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固    话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电子邮件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传    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微信/微博/QQ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研发负责人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联系电话（手机）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固    话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电子邮件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传    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微信/微博/QQ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销售负责人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联系电话（手机）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固    话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电子邮件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传    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微信/微博/QQ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主要产品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产品名称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产品剂型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主要用途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41" w:hRule="exac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粉剂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 xml:space="preserve">    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口服液</w:t>
            </w: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擦剂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 xml:space="preserve">    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灌注剂</w:t>
            </w: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□其他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41" w:hRule="exac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粉剂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 xml:space="preserve">    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口服液</w:t>
            </w: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擦剂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 xml:space="preserve">    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灌注剂</w:t>
            </w: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□其他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41" w:hRule="exac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粉剂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 xml:space="preserve">    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口服液</w:t>
            </w: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擦剂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 xml:space="preserve">    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灌注剂</w:t>
            </w: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□其他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41" w:hRule="exac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粉剂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 xml:space="preserve">    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口服液</w:t>
            </w: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擦剂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 xml:space="preserve">    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灌注剂</w:t>
            </w: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□其他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41" w:hRule="exac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粉剂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 xml:space="preserve">    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口服液</w:t>
            </w: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擦剂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 xml:space="preserve">    □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灌注剂</w:t>
            </w:r>
          </w:p>
          <w:p>
            <w:pPr>
              <w:widowControl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□其他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6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省部级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研发机构或工程中心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申请加入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联盟类别(   )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盟员单位         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常务理事单位        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副理事长单位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　　注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76" w:lineRule="auto"/>
        <w:rPr>
          <w:rFonts w:cs="宋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注：</w:t>
      </w:r>
    </w:p>
    <w:p>
      <w:pPr>
        <w:numPr>
          <w:ilvl w:val="0"/>
          <w:numId w:val="1"/>
        </w:numPr>
        <w:spacing w:line="276" w:lineRule="auto"/>
        <w:ind w:left="829" w:leftChars="195"/>
        <w:rPr>
          <w:rFonts w:cs="宋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备注栏内，务必填写出任联盟理事、常务理事或副理事长的具体人选（姓名，职务）。</w:t>
      </w:r>
    </w:p>
    <w:p>
      <w:pPr>
        <w:numPr>
          <w:ilvl w:val="0"/>
          <w:numId w:val="1"/>
        </w:numPr>
        <w:spacing w:line="276" w:lineRule="auto"/>
        <w:ind w:left="829" w:leftChars="195"/>
        <w:rPr>
          <w:rFonts w:cs="宋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此表一式二份，打印、加盖单位公章，扫描并发送到电子邮箱：</w:t>
      </w:r>
      <w:r>
        <w:rPr>
          <w:rFonts w:hint="eastAsia"/>
        </w:rPr>
        <w:t>zsylm001@126.com；纸质版邮寄到：北京市昌平区北农路7号，北京农学院动物科技学院（102206），</w:t>
      </w:r>
      <w:r>
        <w:rPr>
          <w:rFonts w:hint="eastAsia"/>
          <w:lang w:eastAsia="zh-CN"/>
        </w:rPr>
        <w:t>武岩</w:t>
      </w:r>
      <w:r>
        <w:rPr>
          <w:rFonts w:hint="eastAsia"/>
        </w:rPr>
        <w:t>收。</w:t>
      </w:r>
    </w:p>
    <w:p>
      <w:pPr>
        <w:numPr>
          <w:ilvl w:val="0"/>
          <w:numId w:val="1"/>
        </w:numPr>
        <w:spacing w:line="276" w:lineRule="auto"/>
        <w:ind w:left="829" w:leftChars="195"/>
        <w:rPr>
          <w:rFonts w:cs="宋体"/>
          <w:kern w:val="0"/>
          <w:szCs w:val="21"/>
        </w:rPr>
      </w:pPr>
      <w:r>
        <w:rPr>
          <w:rFonts w:hint="eastAsia" w:ascii="宋体" w:hAnsi="宋体"/>
          <w:szCs w:val="21"/>
        </w:rPr>
        <w:t>GMP证书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营业</w:t>
      </w:r>
      <w:r>
        <w:rPr>
          <w:rFonts w:hint="eastAsia" w:ascii="宋体" w:hAnsi="宋体"/>
          <w:szCs w:val="21"/>
          <w:lang w:eastAsia="zh-CN"/>
        </w:rPr>
        <w:t>执照、组织机构代码</w:t>
      </w:r>
      <w:r>
        <w:rPr>
          <w:rFonts w:hint="eastAsia" w:ascii="宋体" w:hAnsi="宋体"/>
          <w:szCs w:val="21"/>
        </w:rPr>
        <w:t>扫描件及盖章的复印件一式3份备案</w:t>
      </w:r>
    </w:p>
    <w:p>
      <w:pPr>
        <w:numPr>
          <w:ilvl w:val="0"/>
          <w:numId w:val="1"/>
        </w:numPr>
        <w:spacing w:line="276" w:lineRule="auto"/>
        <w:ind w:left="829" w:leftChars="195"/>
      </w:pPr>
      <w:r>
        <w:rPr>
          <w:rFonts w:hint="eastAsia"/>
        </w:rPr>
        <w:t>咨询联系人：钟友刚（13501175973</w:t>
      </w:r>
      <w:r>
        <w:rPr>
          <w:rFonts w:hint="eastAsia" w:cs="宋体"/>
          <w:kern w:val="0"/>
          <w:szCs w:val="21"/>
        </w:rPr>
        <w:t>），章海朝 (13810410616)</w:t>
      </w:r>
    </w:p>
    <w:p>
      <w:pPr>
        <w:spacing w:line="276" w:lineRule="auto"/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营业执照</w:t>
      </w: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组织机构代码</w:t>
      </w: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</w:p>
    <w:p>
      <w:pPr>
        <w:spacing w:line="276" w:lineRule="auto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GMP资质证书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14835765">
    <w:nsid w:val="6C2C3235"/>
    <w:multiLevelType w:val="multilevel"/>
    <w:tmpl w:val="6C2C3235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148357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128</Words>
  <Characters>736</Characters>
  <Lines>6</Lines>
  <Paragraphs>1</Paragraphs>
  <TotalTime>0</TotalTime>
  <ScaleCrop>false</ScaleCrop>
  <LinksUpToDate>false</LinksUpToDate>
  <CharactersWithSpaces>0</CharactersWithSpaces>
  <Application>WPS Office 个人版_9.1.0.4764_{F1E327BC-269C-435d-A152-05C5408002CA}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2014-07-21T03:07:00Z</dcterms:created>
  <dc:creator>许剑琴</dc:creator>
  <cp:lastModifiedBy>aa</cp:lastModifiedBy>
  <dcterms:modified xsi:type="dcterms:W3CDTF">2014-08-11T02:51:34Z</dcterms:modified>
  <dc:title>中兽药产业技术创新战略联盟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